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3F" w:rsidRDefault="00954B10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Care Coordinator</w:t>
      </w:r>
    </w:p>
    <w:p w:rsidR="00FF6B3F" w:rsidRDefault="00FF6B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954B1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Position Summary: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:rsidR="00FF6B3F" w:rsidRDefault="00954B1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Care Coordinator is responsible for the coordination and care management of Aware Recovery Care clie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nts. In addition to executing the duties and responsibilities of the Care Coordinator as part of a multidisciplinary Addiction Care Team, this individua</w:t>
      </w:r>
      <w:r>
        <w:rPr>
          <w:rFonts w:ascii="Calibri" w:eastAsia="Calibri" w:hAnsi="Calibri" w:cs="Calibri"/>
          <w:sz w:val="24"/>
          <w:szCs w:val="24"/>
        </w:rPr>
        <w:t>l also serves to make any other arrangements, whether through ARC or outside providers, that are deemed necessary or beneficial to the overall progression of the client’s health.</w:t>
      </w:r>
    </w:p>
    <w:p w:rsidR="00FF6B3F" w:rsidRDefault="00FF6B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954B1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 To:</w:t>
      </w:r>
    </w:p>
    <w:p w:rsidR="00FF6B3F" w:rsidRDefault="00FF6B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954B1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 Coordination Manager</w:t>
      </w:r>
    </w:p>
    <w:p w:rsidR="00FF6B3F" w:rsidRDefault="00FF6B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954B1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Duties and Responsibilities</w:t>
      </w:r>
    </w:p>
    <w:p w:rsidR="00FF6B3F" w:rsidRDefault="00954B1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Admissio</w:t>
      </w:r>
      <w:r>
        <w:rPr>
          <w:rFonts w:ascii="Calibri" w:eastAsia="Calibri" w:hAnsi="Calibri" w:cs="Calibri"/>
          <w:sz w:val="24"/>
          <w:szCs w:val="24"/>
        </w:rPr>
        <w:t>n, care management and discharge of a caseload of clients receiving recovery services in the home.</w:t>
      </w:r>
    </w:p>
    <w:p w:rsidR="00FF6B3F" w:rsidRDefault="00954B1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Driving to and meeting clients in their home environment. Transporting clients to ARC-related appointments as fit and necessary.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Assessment and development o</w:t>
      </w:r>
      <w:r>
        <w:rPr>
          <w:rFonts w:ascii="Calibri" w:eastAsia="Calibri" w:hAnsi="Calibri" w:cs="Calibri"/>
          <w:sz w:val="24"/>
          <w:szCs w:val="24"/>
        </w:rPr>
        <w:t>f an appropriate treatment plan to meet individual ARC client needs with understanding and consideration of client care goals as voiced by the client, making the client a major part of his/her treatment and recovery.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Regular evaluation of client progress, </w:t>
      </w:r>
      <w:r>
        <w:rPr>
          <w:rFonts w:ascii="Calibri" w:eastAsia="Calibri" w:hAnsi="Calibri" w:cs="Calibri"/>
          <w:sz w:val="24"/>
          <w:szCs w:val="24"/>
        </w:rPr>
        <w:t>including crisis intervention as appropriate.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Submit timely clinical documentation in an Electronic Medical Record (EMR) system.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Coordination of services with the client, family and all providers involved in the treatment plan.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Maintain up-to-date educatio</w:t>
      </w:r>
      <w:r>
        <w:rPr>
          <w:rFonts w:ascii="Calibri" w:eastAsia="Calibri" w:hAnsi="Calibri" w:cs="Calibri"/>
          <w:sz w:val="24"/>
          <w:szCs w:val="24"/>
        </w:rPr>
        <w:t>n on current addiction treatment trends, including knowledge of Internet and local resources for those with substance abuse.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Providing advocacy as needed to ensure client knows and understands his/her rights.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Supervision and delegation of the services rend</w:t>
      </w:r>
      <w:r>
        <w:rPr>
          <w:rFonts w:ascii="Calibri" w:eastAsia="Calibri" w:hAnsi="Calibri" w:cs="Calibri"/>
          <w:sz w:val="24"/>
          <w:szCs w:val="24"/>
        </w:rPr>
        <w:t xml:space="preserve">ered to the client by the CRA in accordance with organization policies. 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Identification of client and family needs for services or other community resources and referral for same when appropriate. 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Participation in orientation, teaching and supervision of </w:t>
      </w:r>
      <w:r>
        <w:rPr>
          <w:rFonts w:ascii="Calibri" w:eastAsia="Calibri" w:hAnsi="Calibri" w:cs="Calibri"/>
          <w:sz w:val="24"/>
          <w:szCs w:val="24"/>
        </w:rPr>
        <w:t>other client care staff.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Involvement in self-evaluation and professional development.</w:t>
      </w:r>
    </w:p>
    <w:p w:rsidR="00FF6B3F" w:rsidRDefault="00954B1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Participation in Case Review, supervision, and continuing education.</w:t>
      </w:r>
    </w:p>
    <w:p w:rsidR="00FF6B3F" w:rsidRDefault="00FF6B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F6B3F" w:rsidRDefault="00954B1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Required Qualifications</w:t>
      </w:r>
    </w:p>
    <w:p w:rsidR="00FF6B3F" w:rsidRDefault="00954B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Must be </w:t>
      </w:r>
      <w:r>
        <w:rPr>
          <w:rFonts w:ascii="Times New Roman" w:eastAsia="Times New Roman" w:hAnsi="Times New Roman" w:cs="Times New Roman"/>
          <w:sz w:val="24"/>
          <w:szCs w:val="24"/>
        </w:rPr>
        <w:t>RN, LPN, LCSW/LICSW, LMSW, LMFT, LPC/LMHC</w:t>
      </w:r>
    </w:p>
    <w:p w:rsidR="00FF6B3F" w:rsidRDefault="00954B1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 year of professional clinical social work experience or at least one year of professional nursing experience within the past three years.</w:t>
      </w:r>
    </w:p>
    <w:p w:rsidR="00FF6B3F" w:rsidRDefault="00FF6B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954B1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Key Competencies</w:t>
      </w:r>
    </w:p>
    <w:p w:rsidR="00FF6B3F" w:rsidRDefault="00954B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assessment skills and holistic health knowledge</w:t>
      </w:r>
      <w:r>
        <w:rPr>
          <w:rFonts w:ascii="Calibri" w:eastAsia="Calibri" w:hAnsi="Calibri" w:cs="Calibri"/>
          <w:sz w:val="24"/>
          <w:szCs w:val="24"/>
        </w:rPr>
        <w:t xml:space="preserve"> regarding addiction</w:t>
      </w:r>
    </w:p>
    <w:p w:rsidR="00FF6B3F" w:rsidRDefault="00954B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Exemplary motivational interviewing and deep listening skills</w:t>
      </w:r>
    </w:p>
    <w:p w:rsidR="00FF6B3F" w:rsidRDefault="00954B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interpersonal and group communication skills</w:t>
      </w:r>
    </w:p>
    <w:p w:rsidR="00FF6B3F" w:rsidRDefault="00954B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collaborate</w:t>
      </w:r>
    </w:p>
    <w:p w:rsidR="00FF6B3F" w:rsidRDefault="00954B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Demonstrates patience and adaptability in the face of environment and situation fluctuations</w:t>
      </w:r>
    </w:p>
    <w:p w:rsidR="00FF6B3F" w:rsidRDefault="00954B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Resolution-focused with the ability to think critically and creatively</w:t>
      </w:r>
    </w:p>
    <w:p w:rsidR="00FF6B3F" w:rsidRDefault="00954B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knowledge of supplementary and alternative Addiction Treatment modalities</w:t>
      </w:r>
    </w:p>
    <w:p w:rsidR="00FF6B3F" w:rsidRDefault="00FF6B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FF6B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954B10">
      <w:pPr>
        <w:tabs>
          <w:tab w:val="left" w:pos="220"/>
          <w:tab w:val="left" w:pos="720"/>
        </w:tabs>
        <w:spacing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Assesse</w:t>
      </w:r>
      <w:r>
        <w:rPr>
          <w:rFonts w:ascii="Calibri" w:eastAsia="Calibri" w:hAnsi="Calibri" w:cs="Calibri"/>
          <w:b/>
          <w:sz w:val="24"/>
          <w:szCs w:val="24"/>
        </w:rPr>
        <w:t>d Competencies:</w:t>
      </w:r>
    </w:p>
    <w:p w:rsidR="00FF6B3F" w:rsidRDefault="00954B10">
      <w:pPr>
        <w:numPr>
          <w:ilvl w:val="0"/>
          <w:numId w:val="2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Urine Drug Screen competed following manufacturer instructions</w:t>
      </w:r>
    </w:p>
    <w:p w:rsidR="00FF6B3F" w:rsidRDefault="00954B10">
      <w:pPr>
        <w:numPr>
          <w:ilvl w:val="0"/>
          <w:numId w:val="2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 hygiene (Staff member washes hands properly, following ARC and CDC standards)</w:t>
      </w:r>
    </w:p>
    <w:p w:rsidR="00FF6B3F" w:rsidRDefault="00954B10">
      <w:pPr>
        <w:numPr>
          <w:ilvl w:val="0"/>
          <w:numId w:val="2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Proper use of Service Delivery Kit (following infection control protocol, using barrier approp</w:t>
      </w:r>
      <w:r>
        <w:rPr>
          <w:rFonts w:ascii="Calibri" w:eastAsia="Calibri" w:hAnsi="Calibri" w:cs="Calibri"/>
          <w:sz w:val="24"/>
          <w:szCs w:val="24"/>
        </w:rPr>
        <w:t>riately)</w:t>
      </w:r>
    </w:p>
    <w:p w:rsidR="00FF6B3F" w:rsidRDefault="00954B10">
      <w:pPr>
        <w:numPr>
          <w:ilvl w:val="0"/>
          <w:numId w:val="2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Infection Control Policy</w:t>
      </w:r>
    </w:p>
    <w:p w:rsidR="00FF6B3F" w:rsidRDefault="00954B10">
      <w:pPr>
        <w:numPr>
          <w:ilvl w:val="0"/>
          <w:numId w:val="2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Emergency Operations Policy</w:t>
      </w:r>
    </w:p>
    <w:p w:rsidR="00FF6B3F" w:rsidRDefault="00954B10">
      <w:pPr>
        <w:numPr>
          <w:ilvl w:val="0"/>
          <w:numId w:val="2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and sign job description</w:t>
      </w:r>
    </w:p>
    <w:p w:rsidR="00FF6B3F" w:rsidRDefault="00954B10">
      <w:pPr>
        <w:numPr>
          <w:ilvl w:val="0"/>
          <w:numId w:val="2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Drugs of Abuse module (screening for intoxication and withdrawal symptoms)</w:t>
      </w:r>
    </w:p>
    <w:p w:rsidR="00FF6B3F" w:rsidRDefault="00954B10">
      <w:pPr>
        <w:numPr>
          <w:ilvl w:val="0"/>
          <w:numId w:val="2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Ethics module</w:t>
      </w:r>
    </w:p>
    <w:p w:rsidR="00FF6B3F" w:rsidRDefault="00954B10">
      <w:pPr>
        <w:numPr>
          <w:ilvl w:val="0"/>
          <w:numId w:val="2"/>
        </w:numPr>
        <w:tabs>
          <w:tab w:val="left" w:pos="220"/>
          <w:tab w:val="left" w:pos="720"/>
        </w:tabs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Treatment Planning module</w:t>
      </w:r>
    </w:p>
    <w:p w:rsidR="00FF6B3F" w:rsidRDefault="00FF6B3F">
      <w:pPr>
        <w:tabs>
          <w:tab w:val="left" w:pos="220"/>
          <w:tab w:val="left" w:pos="720"/>
        </w:tabs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954B10">
      <w:pPr>
        <w:tabs>
          <w:tab w:val="left" w:pos="220"/>
          <w:tab w:val="left" w:pos="720"/>
        </w:tabs>
        <w:spacing w:after="100" w:line="397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Timekeeping and Punching</w:t>
      </w:r>
    </w:p>
    <w:p w:rsidR="00FF6B3F" w:rsidRDefault="00954B10">
      <w:pPr>
        <w:numPr>
          <w:ilvl w:val="0"/>
          <w:numId w:val="4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All non-exempt employees are required to use the timekeeping system to record their hours worked. Non-exempt employees are required to clock in/out for time off and other leave tracking purposes.</w:t>
      </w:r>
    </w:p>
    <w:p w:rsidR="00FF6B3F" w:rsidRDefault="00954B10">
      <w:pPr>
        <w:numPr>
          <w:ilvl w:val="0"/>
          <w:numId w:val="4"/>
        </w:numPr>
        <w:tabs>
          <w:tab w:val="left" w:pos="220"/>
          <w:tab w:val="left" w:pos="72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Employees should clock in no sooner</w:t>
      </w:r>
      <w:r>
        <w:rPr>
          <w:rFonts w:ascii="Calibri" w:eastAsia="Calibri" w:hAnsi="Calibri" w:cs="Calibri"/>
          <w:sz w:val="24"/>
          <w:szCs w:val="24"/>
        </w:rPr>
        <w:t xml:space="preserve"> than five minutes before their schedule shift and clock out no later than five minutes after their scheduled shift. Additionally, employees are required to clock in/out for their designated lunch periods. The length of the lunch period should have the agr</w:t>
      </w:r>
      <w:r>
        <w:rPr>
          <w:rFonts w:ascii="Calibri" w:eastAsia="Calibri" w:hAnsi="Calibri" w:cs="Calibri"/>
          <w:sz w:val="24"/>
          <w:szCs w:val="24"/>
        </w:rPr>
        <w:t>eement of the employee’s manager. Lunch periods are unpaid time when employees are relieved of all duties. Waiver of the lunch period</w:t>
      </w:r>
    </w:p>
    <w:p w:rsidR="00FF6B3F" w:rsidRDefault="00954B10">
      <w:pPr>
        <w:numPr>
          <w:ilvl w:val="0"/>
          <w:numId w:val="4"/>
        </w:numPr>
        <w:tabs>
          <w:tab w:val="left" w:pos="220"/>
          <w:tab w:val="left" w:pos="72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requires prior approval of the employee’s manager. Under no circumstance may the waiver of the lunch period result in over</w:t>
      </w:r>
      <w:r>
        <w:rPr>
          <w:rFonts w:ascii="Calibri" w:eastAsia="Calibri" w:hAnsi="Calibri" w:cs="Calibri"/>
          <w:sz w:val="24"/>
          <w:szCs w:val="24"/>
        </w:rPr>
        <w:t>time work.</w:t>
      </w:r>
    </w:p>
    <w:p w:rsidR="00FF6B3F" w:rsidRDefault="00954B10">
      <w:pPr>
        <w:numPr>
          <w:ilvl w:val="0"/>
          <w:numId w:val="4"/>
        </w:numPr>
        <w:tabs>
          <w:tab w:val="left" w:pos="220"/>
          <w:tab w:val="left" w:pos="72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Should an employee miss an entry into the timekeeping system, the employee will notify their manager as soon possible for correction. Employees may not ask another employee to clock in/out for them.</w:t>
      </w:r>
    </w:p>
    <w:p w:rsidR="00FF6B3F" w:rsidRDefault="00954B10">
      <w:pPr>
        <w:numPr>
          <w:ilvl w:val="0"/>
          <w:numId w:val="4"/>
        </w:numPr>
        <w:tabs>
          <w:tab w:val="left" w:pos="220"/>
          <w:tab w:val="left" w:pos="72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Accurate time reporting is a federal and state</w:t>
      </w:r>
      <w:r>
        <w:rPr>
          <w:rFonts w:ascii="Calibri" w:eastAsia="Calibri" w:hAnsi="Calibri" w:cs="Calibri"/>
          <w:sz w:val="24"/>
          <w:szCs w:val="24"/>
        </w:rPr>
        <w:t xml:space="preserve"> wage and hour requirement, and employees are required to comply. Failing to enter time into the timekeeping system in an accurate and timely manner is unacceptable job performance.</w:t>
      </w:r>
    </w:p>
    <w:p w:rsidR="00FF6B3F" w:rsidRDefault="00954B10">
      <w:pPr>
        <w:numPr>
          <w:ilvl w:val="0"/>
          <w:numId w:val="4"/>
        </w:numPr>
        <w:tabs>
          <w:tab w:val="left" w:pos="220"/>
          <w:tab w:val="left" w:pos="720"/>
        </w:tabs>
        <w:spacing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Non-exempt employees are not permitted to work overtime or unscheduled tim</w:t>
      </w:r>
      <w:r>
        <w:rPr>
          <w:rFonts w:ascii="Calibri" w:eastAsia="Calibri" w:hAnsi="Calibri" w:cs="Calibri"/>
          <w:sz w:val="24"/>
          <w:szCs w:val="24"/>
        </w:rPr>
        <w:t>e without prior authorization from their manager. This includes clocking in early, clocking out late, or working through the scheduled lunch period.</w:t>
      </w:r>
    </w:p>
    <w:p w:rsidR="00FF6B3F" w:rsidRDefault="00FF6B3F">
      <w:pPr>
        <w:tabs>
          <w:tab w:val="left" w:pos="220"/>
          <w:tab w:val="left" w:pos="720"/>
        </w:tabs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FF6B3F">
      <w:pPr>
        <w:tabs>
          <w:tab w:val="left" w:pos="220"/>
          <w:tab w:val="left" w:pos="720"/>
        </w:tabs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954B10">
      <w:pPr>
        <w:tabs>
          <w:tab w:val="left" w:pos="220"/>
          <w:tab w:val="left" w:pos="720"/>
        </w:tabs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</w:t>
      </w:r>
    </w:p>
    <w:p w:rsidR="00FF6B3F" w:rsidRDefault="00954B10">
      <w:pPr>
        <w:tabs>
          <w:tab w:val="left" w:pos="220"/>
          <w:tab w:val="left" w:pos="720"/>
        </w:tabs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Printed Name</w:t>
      </w:r>
    </w:p>
    <w:p w:rsidR="00FF6B3F" w:rsidRDefault="00FF6B3F">
      <w:pPr>
        <w:tabs>
          <w:tab w:val="left" w:pos="220"/>
          <w:tab w:val="left" w:pos="720"/>
        </w:tabs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FF6B3F">
      <w:pPr>
        <w:tabs>
          <w:tab w:val="left" w:pos="220"/>
          <w:tab w:val="left" w:pos="720"/>
        </w:tabs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954B10">
      <w:pPr>
        <w:tabs>
          <w:tab w:val="left" w:pos="220"/>
          <w:tab w:val="left" w:pos="720"/>
        </w:tabs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</w:t>
      </w:r>
      <w:r>
        <w:rPr>
          <w:rFonts w:ascii="Calibri" w:eastAsia="Calibri" w:hAnsi="Calibri" w:cs="Calibri"/>
          <w:sz w:val="24"/>
          <w:szCs w:val="24"/>
        </w:rPr>
        <w:t>_________________</w:t>
      </w:r>
    </w:p>
    <w:p w:rsidR="00FF6B3F" w:rsidRDefault="00954B10">
      <w:pPr>
        <w:tabs>
          <w:tab w:val="left" w:pos="220"/>
          <w:tab w:val="left" w:pos="720"/>
        </w:tabs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</w:p>
    <w:p w:rsidR="00FF6B3F" w:rsidRDefault="00FF6B3F">
      <w:pPr>
        <w:tabs>
          <w:tab w:val="left" w:pos="220"/>
          <w:tab w:val="left" w:pos="720"/>
        </w:tabs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FF6B3F" w:rsidRDefault="00FF6B3F">
      <w:pPr>
        <w:tabs>
          <w:tab w:val="left" w:pos="220"/>
          <w:tab w:val="left" w:pos="720"/>
        </w:tabs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sectPr w:rsidR="00FF6B3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4B10">
      <w:pPr>
        <w:spacing w:line="240" w:lineRule="auto"/>
      </w:pPr>
      <w:r>
        <w:separator/>
      </w:r>
    </w:p>
  </w:endnote>
  <w:endnote w:type="continuationSeparator" w:id="0">
    <w:p w:rsidR="00000000" w:rsidRDefault="00954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4B10">
      <w:pPr>
        <w:spacing w:line="240" w:lineRule="auto"/>
      </w:pPr>
      <w:r>
        <w:separator/>
      </w:r>
    </w:p>
  </w:footnote>
  <w:footnote w:type="continuationSeparator" w:id="0">
    <w:p w:rsidR="00000000" w:rsidRDefault="00954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3F" w:rsidRDefault="00954B10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971550" cy="786777"/>
          <wp:effectExtent l="0" t="0" r="0" b="0"/>
          <wp:docPr id="1" name="image1.png" descr="Macintosh HD:Users:rachaeldemarzo:Desktop: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rachaeldemarzo:Desktop:downloa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786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736B"/>
    <w:multiLevelType w:val="multilevel"/>
    <w:tmpl w:val="3C4EE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B340068"/>
    <w:multiLevelType w:val="multilevel"/>
    <w:tmpl w:val="76BC8C4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E32DEA"/>
    <w:multiLevelType w:val="multilevel"/>
    <w:tmpl w:val="5BC89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3F12B3"/>
    <w:multiLevelType w:val="multilevel"/>
    <w:tmpl w:val="36723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0A85C60"/>
    <w:multiLevelType w:val="multilevel"/>
    <w:tmpl w:val="1C3EE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B3F"/>
    <w:rsid w:val="00954B1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C851F-27C5-4B9A-B637-4B1BDDB7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4046</Characters>
  <Application>Microsoft Office Word</Application>
  <DocSecurity>4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Jillienne Hughes</dc:creator>
  <cp:lastModifiedBy>Jillienne Hughes</cp:lastModifiedBy>
  <cp:revision>2</cp:revision>
  <dcterms:created xsi:type="dcterms:W3CDTF">2020-03-19T19:49:00Z</dcterms:created>
  <dcterms:modified xsi:type="dcterms:W3CDTF">2020-03-19T19:49:00Z</dcterms:modified>
</cp:coreProperties>
</file>